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CC" w:rsidRPr="008F0CCC" w:rsidRDefault="008F0CCC" w:rsidP="008F0CCC">
      <w:pPr>
        <w:shd w:val="clear" w:color="auto" w:fill="EEEEEE"/>
        <w:spacing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555555"/>
          <w:sz w:val="36"/>
          <w:szCs w:val="36"/>
          <w:lang w:eastAsia="ru-RU"/>
        </w:rPr>
      </w:pPr>
      <w:r w:rsidRPr="008F0CCC">
        <w:rPr>
          <w:rFonts w:ascii="Helvetica" w:eastAsia="Times New Roman" w:hAnsi="Helvetica" w:cs="Helvetica"/>
          <w:b/>
          <w:bCs/>
          <w:color w:val="855FA8"/>
          <w:sz w:val="36"/>
          <w:szCs w:val="36"/>
          <w:lang w:eastAsia="ru-RU"/>
        </w:rPr>
        <w:t>Перечень изучаемых дисциплин</w:t>
      </w:r>
    </w:p>
    <w:p w:rsidR="008F0CCC" w:rsidRPr="008F0CCC" w:rsidRDefault="008F0CCC" w:rsidP="008F0CCC">
      <w:pPr>
        <w:shd w:val="clear" w:color="auto" w:fill="EEEEEE"/>
        <w:spacing w:after="100" w:afterAutospacing="1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8F0CCC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5973"/>
      </w:tblGrid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E1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Краткое описание</w:t>
            </w:r>
          </w:p>
        </w:tc>
      </w:tr>
      <w:tr w:rsidR="008F0CCC" w:rsidRPr="008F0CCC" w:rsidTr="008F0CC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1 курс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Возникновение социально-гуманитарного научного знания; основания научного знания (идеалы и нормы науки, научные картины мира, эволюция философских оснований науки); междисциплинарные взаимодействия различных областей научного знания,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синергийные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эффекты этого влияния; методы современной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постнеклассической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науки: синергетики, глобального эволюционизма; основная хронология важнейших открытий в различных областях социально-гуманитарного научного знания; научные революции, основные научные картины мира, история отдельных научных дисциплин и основные дисциплинарные онтологии; динамика важнейших идей в истории становления научной методологии в отдельных областях знания.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1.  Виды речевых действий и приемы ведения общения.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 xml:space="preserve">1.1.  Передача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фактуальной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информации: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1.2</w:t>
            </w:r>
            <w:proofErr w:type="gram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.      Передача эмоциональной оценки </w:t>
            </w:r>
            <w:proofErr w:type="gram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сообщения: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1.3</w:t>
            </w:r>
            <w:proofErr w:type="gram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.      Передача интеллектуальных </w:t>
            </w:r>
            <w:proofErr w:type="gram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отношений: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1.4</w:t>
            </w:r>
            <w:proofErr w:type="gram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      Структурирование дискурса: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2. Фонетика. Интонационное оформление предложения: словесное, фразовое и логическое ударения, мелодия,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паузация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; фонологические противопоставления, релевантные для изучаемого языка: долгота/краткость, закрытость/открытость гласных звуков, звонкость/глухость конечных согласных и т.п.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3. Лексика. Лексический запас аспиранта (соискателя) должен составить не менее 5500 лексических единиц с учетом вузовского минимума и потенциального словаря, включая примерно 500 терминов профи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softHyphen/>
              <w:t>лирующей специальности.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4. Грамматика Порядок слов простого предложения. Сложное предложение: сложносочиненное и сложноподчиненное предложения. Союзы и относительные местоимения. Эллиптические предложения. Бессоюзные придаточные. Употребление личных форм глагола в активном и пассивном залогах. Согласование времен. Функции инфинитива: инфинитив в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функцииподлежащего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определения, обстоятельства. Синтаксические </w:t>
            </w:r>
            <w:proofErr w:type="spellStart"/>
            <w:proofErr w:type="gram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конструкции:оборот</w:t>
            </w:r>
            <w:proofErr w:type="spellEnd"/>
            <w:proofErr w:type="gram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«дополнение с инфинитивом» (объектный падеж с инфинитивом);оборот «подлежащее с инфинитивом» (именительный падеж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синфинитивом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); инфинитив в функции вводного члена; инфинитив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всоставном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именном сказуемом (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be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+ инф.) и в составном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модальномсказуемом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; (оборот «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for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smb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to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do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smth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.»). Сослагательное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наклонение.Модальные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глаголы. Модальные глаголы с простым и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перфектныминфинитивом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 Атрибутивные комплексы (цепочки существительных</w:t>
            </w:r>
            <w:proofErr w:type="gram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).Эмфатические</w:t>
            </w:r>
            <w:proofErr w:type="gram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(в том числе инверсионные) конструкции в форме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Continuousили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 xml:space="preserve">пассива; инвертированное придаточное уступительное или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причины;двойное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отрицание. Местоимения, слова-заместители (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that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of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those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of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), </w:t>
            </w:r>
            <w:proofErr w:type="spellStart"/>
            <w:proofErr w:type="gram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this,these</w:t>
            </w:r>
            <w:proofErr w:type="spellEnd"/>
            <w:proofErr w:type="gram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do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one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ones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), сложные и парные союзы, сравнительно-сопоставительные обороты (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as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...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as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not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so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...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as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the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...).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Педагогика и психология высшей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Современное развитие образования в России и за рубежом; педагогика высшей школы в системе высшего образования; основы дидактики высшей школы; формы и методы обучения в вузе; педагогическое проектирование и педагогические технологии; воспитание в педагогическом процессе   вуза; особенности развития личности студента; типология личности студента и преподавателя; межгрупповые отношения и взаимодействия: нормативность поведения и групповая сплоченность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Методология науки и методы научных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Внутреннее строение научно-исследовательской деятельности. Объект исследования. Предмет исследования. Цели задачи исследования. Постановка проблемы. Исследовательские средства. Общенаучная методология. Конкретно-научная методология. Методики и техника научного исследования: обоснование актуальности выбранной темы, постановка цели и конкретных задач исследования, определение объекта и предмета исследования, выбор методов (методики) проведения исследования, описание процесса исследования, обсуждение результатов исследования, их оценка, формулирование выводов. Методология диссертационного исследования.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Содержание научно-исследовательской деятельности аспирантов состоит в: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выявлении и формулировании актуальных научных проблем, требующих углубленных профессиональных знаний в области предпринимательского права;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разработке программ научных исследований и разработок, организации их выполнения;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разработке методов и инструментов проведения исследований, исходя из целей конкретного исследования, и анализе их результатов;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участие в разработке совместно с другими членами коллектива общих научных проектов;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разработке организационно-управленческих моделей процессов, явлений и объектов, оценке и интерпретации результатов;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поиске, сборе, обработке, анализе и систематизации информации по теме исследования;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подготовке обзоров, отчетов и </w:t>
            </w:r>
            <w:hyperlink r:id="rId4" w:tooltip="Научные публикации" w:history="1">
              <w:r w:rsidRPr="008F0CCC">
                <w:rPr>
                  <w:rFonts w:ascii="Helvetica" w:eastAsia="Times New Roman" w:hAnsi="Helvetica" w:cs="Helvetica"/>
                  <w:color w:val="6AB8EE"/>
                  <w:sz w:val="21"/>
                  <w:szCs w:val="21"/>
                  <w:lang w:eastAsia="ru-RU"/>
                </w:rPr>
                <w:t>научных публикаций</w:t>
              </w:r>
            </w:hyperlink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по теме исследования;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подготовка и проведение семинаров, научно-практических конференций; написание статей, редактирование и рецензирование научных публикаций.</w:t>
            </w:r>
          </w:p>
        </w:tc>
      </w:tr>
      <w:tr w:rsidR="008F0CCC" w:rsidRPr="008F0CCC" w:rsidTr="008F0CC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2 курс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Конституционное право. Конституционный судебный процесс. Муниципальное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Содержанием дисциплины является сфера конституционно-правового регулирования общественных отношений, взаимоотношений личности, общества и государства, общественных объединений, организации и деятельности органов государственной власти, местного управления и самоуправления, институтов непосредственной демократии, а также сущности и роли конституции в правовой системе, конституционного развития государств, иных аспектов конституционного процесса, 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конституционного контроля, конституционной ответственности, конституционных форм, государственного и территориального устройства.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Дисциплина включает научные знания о конституционно - правовом закреплении принципов деятельности конституционного суда, стадий конституционного судопроизводства, видов и порядка собирания доказательств, положения субъектов конституционного судопроизводства, видов и юридической силы актов органов судебного конституционного контроля, порядка их реализации.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В содержание данной специальности включается научно-правовое системное исследование исторических, формально-юридических, методологических, методических, теоретических, прикладных, понятийно-категориальных и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сущностно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-содержательных юридических проблем правового регулирования функционирования органов местного управления и самоуправления, особенностей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муниципально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-правовых институтов, субъектов и объектов муниципального права, принципов организации публичной власти на местах.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Академическое письмо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Академическое письмо занимает центральное место в комплексе дисциплин, составляющих академическую грамотность. Овладение навыками и приемами создания научных текстов различных типов является неотъемлемой частью подготовки аспирантов к научно-педагогической деятельности.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В ходе изучения аспирант ознакомится с эффективной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коммуникацей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в академическом сообществе; изучит основные принципы построения научного текста и подготовки его к публикации; научиться создавать научные тексты в соответствии с выбранным профилем и темой кандидатской диссертации. Содержание работы аспиранта над академическим текстом определяется темой кандидатской диссертации.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Местное самоуправление: организационно-правовые основы и практика их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 рамках дисциплины изучаются институт организационных основ местного самоуправления, законодательство, регулирующее порядок непосредственного осуществления местного самоуправления населением, проблемы правоприменительной практики в соответствующей области, судебной защиты права на участие в решении вопросов местного значения.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Защита прав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Конституционное признание Российской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Федерациоей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прав и свобод человека на уровне международно-правовых стандартов, в качестве высшей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ценностипредполагает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необходимость их надежного обеспечения и защиты со стороны государственных органов власти.</w:t>
            </w:r>
          </w:p>
          <w:p w:rsidR="008F0CCC" w:rsidRPr="008F0CCC" w:rsidRDefault="008F0CCC" w:rsidP="008F0CCC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При изучении данной учебной дисциплины аспиранты получают необходимые знания о правах человека; изучают внутригосударственные механизмы и процедуры защиты прав человека; изучают систему международно-правовой защиты прав человека, ее развитие, сочетание универсальных и региональных механизмов, 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t>осуществляющих функцию обеспечения и защиты прав и свобод человека и гражданина.</w:t>
            </w:r>
          </w:p>
          <w:p w:rsidR="008F0CCC" w:rsidRPr="008F0CCC" w:rsidRDefault="008F0CCC" w:rsidP="008F0CCC">
            <w:pPr>
              <w:spacing w:after="100" w:afterAutospacing="1" w:line="240" w:lineRule="auto"/>
              <w:jc w:val="both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Дисциплина "Защита прав человека" позволяет осмыслить различные стороны правовой защиты как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составлной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части правового регулирования, выявить новые аспекты ее воздействия на общественные институты, уточнить понятийный аппарат правозащитных институтов </w:t>
            </w:r>
            <w:proofErr w:type="spellStart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развличных</w:t>
            </w:r>
            <w:proofErr w:type="spellEnd"/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отраслей права.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Научно-исследовательская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Содержание научно-исследовательской деятельности аспирантов состоит в: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выявлении и формулировании актуальных научных проблем, требующих углубленных профессиональных знаний в области предпринимательского права;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разработке программ научных исследований и разработок, организации их выполнения;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разработке методов и инструментов проведения исследований, исходя из целей конкретного исследования, и анализе их результатов;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участие в разработке совместно с другими членами коллектива общих научных проектов;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разработке организационно-управленческих моделей процессов, явлений и объектов, оценке и интерпретации результатов;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поиске, сборе, обработке, анализе и систематизации информации по теме исследования;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подготовке обзоров, отчетов и </w:t>
            </w:r>
            <w:hyperlink r:id="rId5" w:tooltip="Научные публикации" w:history="1">
              <w:r w:rsidRPr="008F0CCC">
                <w:rPr>
                  <w:rFonts w:ascii="Helvetica" w:eastAsia="Times New Roman" w:hAnsi="Helvetica" w:cs="Helvetica"/>
                  <w:color w:val="6AB8EE"/>
                  <w:sz w:val="21"/>
                  <w:szCs w:val="21"/>
                  <w:lang w:eastAsia="ru-RU"/>
                </w:rPr>
                <w:t>научных публикаций</w:t>
              </w:r>
            </w:hyperlink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по теме исследования;</w:t>
            </w: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br/>
              <w:t>- подготовка и проведение семинаров, научно-практических конференций; написание статей, редактирование и рецензирование научных публикаций.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Педагогическая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Педагогическая практика является обязательной составной частью профессиональной подготовки аспирантов к научно-педагогической деятельности в высшем учебном заведении и представляет собой вид практической деятельности по осуществлению учебно-воспитательного процесса, включающего преподавание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      </w:r>
          </w:p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Место проведения практики: кафедра конституционного и муниципального права ЮФ СВФУ</w:t>
            </w:r>
          </w:p>
        </w:tc>
      </w:tr>
      <w:tr w:rsidR="008F0CCC" w:rsidRPr="008F0CCC" w:rsidTr="008F0CC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3 курс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Конституционное право. Конституционный судебный процесс. Муниципальное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См. выше</w:t>
            </w:r>
          </w:p>
        </w:tc>
      </w:tr>
      <w:tr w:rsidR="008F0CCC" w:rsidRPr="008F0CCC" w:rsidTr="008F0C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0CCC" w:rsidRPr="008F0CCC" w:rsidRDefault="008F0CCC" w:rsidP="008F0CCC">
            <w:pPr>
              <w:spacing w:after="100" w:afterAutospacing="1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8F0CC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См. выше</w:t>
            </w:r>
          </w:p>
        </w:tc>
      </w:tr>
    </w:tbl>
    <w:p w:rsidR="001D1FEB" w:rsidRDefault="008F0CCC">
      <w:bookmarkStart w:id="0" w:name="_GoBack"/>
      <w:bookmarkEnd w:id="0"/>
    </w:p>
    <w:sectPr w:rsidR="001D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CC"/>
    <w:rsid w:val="00160025"/>
    <w:rsid w:val="00784EFB"/>
    <w:rsid w:val="008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73BD4-7F1C-43B6-BC2A-31E1AE9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0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0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uchnie_publikatcii/" TargetMode="External"/><Relationship Id="rId4" Type="http://schemas.openxmlformats.org/officeDocument/2006/relationships/hyperlink" Target="http://pandia.ru/text/category/nauchnie_publik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Иванов</dc:creator>
  <cp:keywords/>
  <dc:description/>
  <cp:lastModifiedBy>Василий Иванов</cp:lastModifiedBy>
  <cp:revision>1</cp:revision>
  <dcterms:created xsi:type="dcterms:W3CDTF">2021-03-10T03:40:00Z</dcterms:created>
  <dcterms:modified xsi:type="dcterms:W3CDTF">2021-03-10T03:40:00Z</dcterms:modified>
</cp:coreProperties>
</file>