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23" w:rsidRDefault="00840E23" w:rsidP="00840E23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Направления деятельности</w:t>
      </w:r>
    </w:p>
    <w:p w:rsidR="00840E23" w:rsidRPr="00DC5EAA" w:rsidRDefault="00840E23" w:rsidP="00840E23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E23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В первичной профсоюзной организации профессорско-преподавательского состава и работников Северо-Восточного федерального университет</w:t>
      </w:r>
      <w:r>
        <w:rPr>
          <w:rFonts w:ascii="Times New Roman" w:hAnsi="Times New Roman" w:cs="Times New Roman"/>
          <w:sz w:val="20"/>
          <w:szCs w:val="20"/>
        </w:rPr>
        <w:t>а им. М.К. 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 xml:space="preserve"> по состоянию на 01 ноября 2019 года состоит 2153 чел.</w:t>
      </w:r>
    </w:p>
    <w:p w:rsidR="00840E23" w:rsidRPr="00DC5EAA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40E23" w:rsidRPr="00DC5EAA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1. </w:t>
      </w:r>
      <w:r w:rsidRPr="00DC5EAA">
        <w:rPr>
          <w:rFonts w:ascii="Times New Roman" w:hAnsi="Times New Roman" w:cs="Times New Roman"/>
          <w:b/>
          <w:sz w:val="20"/>
          <w:szCs w:val="20"/>
        </w:rPr>
        <w:t>Правозащитная работа</w:t>
      </w:r>
      <w:r w:rsidRPr="00DC5EAA">
        <w:rPr>
          <w:rFonts w:ascii="Times New Roman" w:hAnsi="Times New Roman" w:cs="Times New Roman"/>
          <w:b/>
          <w:i/>
          <w:sz w:val="20"/>
          <w:szCs w:val="20"/>
        </w:rPr>
        <w:t>: защита трудовых и социальных прав граждан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(трудовые отношения, охрана труда, оплата труда сотрудников СВФУ).</w:t>
      </w:r>
    </w:p>
    <w:p w:rsidR="00840E23" w:rsidRPr="00DC5EAA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Это традиционное направление профсоюзной работы.</w:t>
      </w:r>
    </w:p>
    <w:p w:rsidR="00840E23" w:rsidRPr="00DC5EAA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Новый подход выражается в усилении использования </w:t>
      </w:r>
      <w:r w:rsidRPr="00DC5EAA">
        <w:rPr>
          <w:rFonts w:ascii="Times New Roman" w:hAnsi="Times New Roman" w:cs="Times New Roman"/>
          <w:b/>
          <w:sz w:val="20"/>
          <w:szCs w:val="20"/>
        </w:rPr>
        <w:t>внутреннего потенциала СВФУ</w:t>
      </w:r>
      <w:r w:rsidRPr="00DC5EAA">
        <w:rPr>
          <w:rFonts w:ascii="Times New Roman" w:hAnsi="Times New Roman" w:cs="Times New Roman"/>
          <w:sz w:val="20"/>
          <w:szCs w:val="20"/>
        </w:rPr>
        <w:t xml:space="preserve"> через активное взаимодействие Профсоюза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с соответствующими структурами университета, в данном случае – с юридическим факультетом и службой охраны труда. Встречи с профсоюзными активами структур СВФУ должны быть регулярными и системными.</w:t>
      </w:r>
    </w:p>
    <w:p w:rsidR="00840E23" w:rsidRPr="00DC5EAA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Помимо этого, безусловно, должна повышаться эффективность работы с Координационным советом организаций профсоюзов г. Якутска, Федерацией профсоюзов РС (Я).</w:t>
      </w:r>
    </w:p>
    <w:p w:rsidR="00840E23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Контроль условий труда в СВФУ также требует систематизации через постоянное взаимодействие с Службой охраны труда.</w:t>
      </w:r>
    </w:p>
    <w:p w:rsidR="00840E23" w:rsidRPr="00DC5EAA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40E23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2. Профсоюз должен усилить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b/>
          <w:sz w:val="20"/>
          <w:szCs w:val="20"/>
        </w:rPr>
        <w:t>контроль за социальными гарантиями и компенсациями</w:t>
      </w:r>
      <w:r w:rsidRPr="00DC5EAA">
        <w:rPr>
          <w:rFonts w:ascii="Times New Roman" w:hAnsi="Times New Roman" w:cs="Times New Roman"/>
          <w:sz w:val="20"/>
          <w:szCs w:val="20"/>
        </w:rPr>
        <w:t xml:space="preserve">, повысить </w:t>
      </w:r>
      <w:r w:rsidRPr="00DC5EAA">
        <w:rPr>
          <w:rFonts w:ascii="Times New Roman" w:hAnsi="Times New Roman" w:cs="Times New Roman"/>
          <w:b/>
          <w:sz w:val="20"/>
          <w:szCs w:val="20"/>
        </w:rPr>
        <w:t>социальную поддержку</w:t>
      </w:r>
      <w:r w:rsidRPr="00DC5EAA">
        <w:rPr>
          <w:rFonts w:ascii="Times New Roman" w:hAnsi="Times New Roman" w:cs="Times New Roman"/>
          <w:sz w:val="20"/>
          <w:szCs w:val="20"/>
        </w:rPr>
        <w:t xml:space="preserve"> сотрудников – членов Профсоюза. </w:t>
      </w:r>
    </w:p>
    <w:p w:rsidR="00840E23" w:rsidRPr="00DC5EAA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Годовой объем профсоюзных взносов сотрудников – членов Профсоюза вполне позволяет рассмотреть возможность увеличения выплат на материальную помощь по различным направлениям, согласно п. 6.6 Коллективного договора СВФУ. В п.6.7 Коллективного договора устанавливается: «</w:t>
      </w:r>
      <w:r w:rsidRPr="009804A3">
        <w:rPr>
          <w:rFonts w:ascii="Times New Roman" w:hAnsi="Times New Roman" w:cs="Times New Roman"/>
          <w:sz w:val="20"/>
          <w:szCs w:val="20"/>
        </w:rPr>
        <w:t>Размеры материальной помощи работникам определяются ежегодным совместным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04A3">
        <w:rPr>
          <w:rFonts w:ascii="Times New Roman" w:hAnsi="Times New Roman" w:cs="Times New Roman"/>
          <w:sz w:val="20"/>
          <w:szCs w:val="20"/>
        </w:rPr>
        <w:t>постановлением ректора университета и председателя первичной профсоюзной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04A3">
        <w:rPr>
          <w:rFonts w:ascii="Times New Roman" w:hAnsi="Times New Roman" w:cs="Times New Roman"/>
          <w:sz w:val="20"/>
          <w:szCs w:val="20"/>
        </w:rPr>
        <w:t>организации исходя из финансовых возможностей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804A3">
        <w:rPr>
          <w:rFonts w:ascii="Times New Roman" w:hAnsi="Times New Roman" w:cs="Times New Roman"/>
          <w:sz w:val="20"/>
          <w:szCs w:val="20"/>
        </w:rPr>
        <w:t>.</w:t>
      </w:r>
    </w:p>
    <w:p w:rsidR="00840E23" w:rsidRPr="00DC5EAA" w:rsidRDefault="00840E23" w:rsidP="00840E2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Одним из направлений такой работы станет организация участия Профсоюза СВФУ в Пилотном проекте по переходу на единый электронный профсоюзный билет, электронный реестр членов Профсоюза и автоматизированный сбор статистических данных. Электронный профсоюзный билет (далее – ЭПБ) позволит создать условия для дополнительной социальной поддержки членов Профсоюза за счет использования дисконтной и бонусной программ, совмещенных с электронным (или виртуальным – через мобильное приложение) профсоюзным билетом. ЭПБ изготавливаются для каждого члена профсоюза. Обладатель ЭПБ может получать возврат от 1% до 30% потраченных денежных средств на товары и услуги, что значительно больше суммы </w:t>
      </w:r>
      <w:proofErr w:type="spellStart"/>
      <w:r w:rsidRPr="00DC5EAA">
        <w:rPr>
          <w:rFonts w:ascii="Times New Roman" w:hAnsi="Times New Roman" w:cs="Times New Roman"/>
          <w:sz w:val="20"/>
          <w:szCs w:val="20"/>
        </w:rPr>
        <w:t>профвзносов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>. Пластиковая карта работает в любом городе, где представлены магазины-партнеры. Скидки по такому билету распространяются не только на самих членов профсоюза, но и на членов их семей. По мере реализации проекта могут также подключаться различные кредитные и страховые продукты.</w:t>
      </w:r>
    </w:p>
    <w:p w:rsidR="00840E23" w:rsidRDefault="00840E23" w:rsidP="00840E23"/>
    <w:p w:rsidR="006F17B5" w:rsidRDefault="006F17B5">
      <w:bookmarkStart w:id="0" w:name="_GoBack"/>
      <w:bookmarkEnd w:id="0"/>
    </w:p>
    <w:sectPr w:rsidR="006F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A2"/>
    <w:rsid w:val="00037E0B"/>
    <w:rsid w:val="000714A2"/>
    <w:rsid w:val="003F3E92"/>
    <w:rsid w:val="006F17B5"/>
    <w:rsid w:val="00777E13"/>
    <w:rsid w:val="00840E23"/>
    <w:rsid w:val="00906B49"/>
    <w:rsid w:val="0095073C"/>
    <w:rsid w:val="00B67606"/>
    <w:rsid w:val="00C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7992-1A73-4E49-B273-174F53B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ulkprofkom</dc:creator>
  <cp:keywords/>
  <dc:description/>
  <cp:lastModifiedBy>ulkprofkom</cp:lastModifiedBy>
  <cp:revision>2</cp:revision>
  <dcterms:created xsi:type="dcterms:W3CDTF">2020-02-20T09:35:00Z</dcterms:created>
  <dcterms:modified xsi:type="dcterms:W3CDTF">2020-02-20T09:43:00Z</dcterms:modified>
</cp:coreProperties>
</file>