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34" w:rsidRDefault="00845834" w:rsidP="008458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45834" w:rsidRPr="003A68BB" w:rsidRDefault="00845834" w:rsidP="008458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45834" w:rsidRPr="00486971" w:rsidRDefault="00845834" w:rsidP="0084583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6515"/>
      </w:tblGrid>
      <w:tr w:rsidR="00845834" w:rsidRPr="00486971" w:rsidTr="009151A7">
        <w:tc>
          <w:tcPr>
            <w:tcW w:w="3686" w:type="dxa"/>
          </w:tcPr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13.03.02 Электроэнергетика и электротехника,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«Электроснабжение»</w:t>
            </w:r>
          </w:p>
        </w:tc>
        <w:tc>
          <w:tcPr>
            <w:tcW w:w="6515" w:type="dxa"/>
          </w:tcPr>
          <w:p w:rsidR="00845834" w:rsidRPr="00486971" w:rsidRDefault="00845834" w:rsidP="00004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845834" w:rsidRPr="00486971" w:rsidTr="009151A7">
        <w:tc>
          <w:tcPr>
            <w:tcW w:w="3686" w:type="dxa"/>
          </w:tcPr>
          <w:p w:rsidR="00845834" w:rsidRPr="00D26C8C" w:rsidRDefault="00845834" w:rsidP="000041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6515" w:type="dxa"/>
          </w:tcPr>
          <w:p w:rsidR="00845834" w:rsidRPr="00BA1B98" w:rsidRDefault="00845834" w:rsidP="00004172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Электроэнергетика — отрасль энергетики, включающая в себя производство, передачу и сбыт электроэнергии. Электроэнергетика является наиболее важной отраслью энергетики, что объясняется такими преимуществами электроэнергии перед энергией других видов, как относительная лёгкость передачи на большие расстояния, распределения между потребителями</w:t>
            </w:r>
            <w:r w:rsidR="001E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Отличительной чертой электрической энергии являетс</w:t>
            </w:r>
            <w:r w:rsidR="001E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практически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одновременность её генерирования и потребления, так как электрический ток распространяется по сетям со скоростью, близкой к скорости света.</w:t>
            </w:r>
          </w:p>
          <w:p w:rsidR="00845834" w:rsidRPr="00BA1B98" w:rsidRDefault="00845834" w:rsidP="004A5918">
            <w:pPr>
              <w:ind w:firstLine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Электроэнергетика наряду с другими отраслями народного хозяйства рассматривается как часть единой народно — хозяйственной экономической системы. В настоящее время без электрической энергии наша жизнь немыслима. Электроэнергетика </w:t>
            </w:r>
            <w:r w:rsidR="004D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господствует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все</w:t>
            </w:r>
            <w:r w:rsidR="004D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сферах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человека: промышленность и сельское хозяйство, науку и космос. Без электроэнергии невозможно действие современных средств связи и развитие кибернетики, вычислительной и космической техники. Представить без электроэнергии нашу жизнь невозможно.</w:t>
            </w:r>
            <w:bookmarkStart w:id="0" w:name="_GoBack"/>
            <w:bookmarkEnd w:id="0"/>
          </w:p>
        </w:tc>
      </w:tr>
      <w:tr w:rsidR="00845834" w:rsidRPr="00486971" w:rsidTr="009151A7">
        <w:tc>
          <w:tcPr>
            <w:tcW w:w="3686" w:type="dxa"/>
          </w:tcPr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Доминирующие виды деятельности </w:t>
            </w:r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может работать выпускник</w:t>
            </w:r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5" w:type="dxa"/>
          </w:tcPr>
          <w:p w:rsidR="00845834" w:rsidRPr="00BA1B98" w:rsidRDefault="00845834" w:rsidP="00004172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направлена на создание условий, направленных на улучшение эффективности и экономичности систем электроснабжения, упрощение труда персонала, увеличение производительности, а также </w:t>
            </w:r>
            <w:r w:rsidR="00CE2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</w:t>
            </w:r>
            <w:proofErr w:type="spellStart"/>
            <w:r w:rsidR="00CE2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техносферной</w:t>
            </w:r>
            <w:proofErr w:type="spellEnd"/>
            <w:r w:rsidR="00CE2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производства, энергосбережение.</w:t>
            </w:r>
          </w:p>
          <w:p w:rsidR="00845834" w:rsidRPr="00BA1B98" w:rsidRDefault="00845834" w:rsidP="00004172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в области систем электроснабжения спо</w:t>
            </w:r>
            <w:r w:rsidR="0023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 решать широкий круг задач:</w:t>
            </w:r>
          </w:p>
          <w:p w:rsidR="00845834" w:rsidRPr="00BA1B98" w:rsidRDefault="00CE2944" w:rsidP="00004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845834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пособен участвовать в проектировании систем электроснабжения объектов</w:t>
            </w:r>
            <w:r w:rsidR="0023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5834" w:rsidRPr="00BA1B98" w:rsidRDefault="00CE2944" w:rsidP="00004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845834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пособен анализировать режимы работы систем электроснабжения объектов</w:t>
            </w:r>
            <w:r w:rsidR="0023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5834" w:rsidRPr="00BA1B98" w:rsidRDefault="00CE2944" w:rsidP="0000417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845834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пособен оценивать техническое состояние и остаточный ресурс электрооборудования на электростанциях и подстанциях</w:t>
            </w:r>
            <w:r w:rsidR="0023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5834" w:rsidRPr="00BA1B98" w:rsidRDefault="00CE2944" w:rsidP="00004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845834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пособен управлять действующими технологическими процессами, обеспечивающими производство и передачу электроэнергии.</w:t>
            </w:r>
          </w:p>
          <w:p w:rsidR="00845834" w:rsidRPr="00BA1B98" w:rsidRDefault="00845834" w:rsidP="00004172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видам деятельности можно отнести: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прокладывание кабелей силового питания, электропроводки;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электрооборудования;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необходимого размера кабелей для силового питания оборудования;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плана размещения силового питания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электропроводки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координация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монтажных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других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при реконструкции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внедрении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электрического оборудования;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эксплуатация, исследование (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информационных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компьютерных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технологий) систем электроснабжения;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эксплуатация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автоматизированных систем управления (АСУ) электроснабжением промышленных, сельскохозяйственных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коммунально-бытовых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рабочих планов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программ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отдельных этапов технических работ;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сбор, обработка, анализ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систематизация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определенной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опытов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измерений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анализ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обобщение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схем различного назначения, расчет необходимых параметров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величин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5834" w:rsidRPr="00BA1B98" w:rsidRDefault="00845834" w:rsidP="0000417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описания устройства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принципов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проектируемых изделий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объектов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5834" w:rsidRPr="00BA1B98" w:rsidRDefault="00845834" w:rsidP="00233AED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внедрении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разработанных технических проектов </w:t>
            </w:r>
            <w:r w:rsidRPr="00BA1B98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и решений в производство</w:t>
            </w:r>
          </w:p>
        </w:tc>
      </w:tr>
      <w:tr w:rsidR="00845834" w:rsidRPr="00486971" w:rsidTr="009151A7">
        <w:tc>
          <w:tcPr>
            <w:tcW w:w="3686" w:type="dxa"/>
          </w:tcPr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 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может работать выпускник.</w:t>
            </w:r>
          </w:p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845834" w:rsidRPr="00BA1B98" w:rsidRDefault="00845834" w:rsidP="00004172">
            <w:pPr>
              <w:ind w:firstLine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 по направлению 13.03.02 Электроэнергетика и электротехника, профиль «Электроснабжение» может работать в таких организациях и сферах, как: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образование (научные исследования);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строительство и ЖКХ (проектирование и эксплуатация объектов электроэнергетики);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транспорт (проектирование и эксплуатация электротехнического оборудования электрического транспорта);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добыча, переработка, транспортировка нефти и газа (эксплуатация газотранспортного оборудования и газораспределительных станций);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электроэнергетика, включая сферу электротехники;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атомная промышленность (проектирование и эксплуатация объектов электроэнергетики, технического обслуживания и ремонта электромеханического оборудования);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проектирование и эксплуатация электроэнергетических систем, электротехнических комплексов, систем электроснабжения, автоматизации и механизации производства;</w:t>
            </w:r>
          </w:p>
          <w:p w:rsidR="00845834" w:rsidRPr="00BA1B98" w:rsidRDefault="00233AED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опытно-конструкторские </w:t>
            </w:r>
            <w:r w:rsidR="00845834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ы.</w:t>
            </w:r>
          </w:p>
        </w:tc>
      </w:tr>
      <w:tr w:rsidR="00845834" w:rsidRPr="00486971" w:rsidTr="009151A7">
        <w:tc>
          <w:tcPr>
            <w:tcW w:w="3686" w:type="dxa"/>
          </w:tcPr>
          <w:p w:rsidR="00845834" w:rsidRPr="00D26C8C" w:rsidRDefault="00845834" w:rsidP="00004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 важные качества</w:t>
            </w:r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515" w:type="dxa"/>
          </w:tcPr>
          <w:p w:rsidR="00845834" w:rsidRPr="00BA1B98" w:rsidRDefault="00845834" w:rsidP="00004172">
            <w:pPr>
              <w:ind w:firstLine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профессиональным важным качествам специалиста по системам электроснабжения относятся: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технические способности;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математические способности;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логическое мышление;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—способность сопоставлять и анализировать множество разрозненных фактов;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гибкость мышления (способность изменять планы, способы решения задач под влиянием изменений ситуации);</w:t>
            </w:r>
          </w:p>
          <w:p w:rsidR="0001092B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высокий уровень концентрации, распределения и устойчивости внимания (способность в течение длительного времени заниматься определенным видом деятельности, уделять внимание нескольким объектам одновременно); 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хорошая реакция;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хорошее развитие всех видов памяти;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развитие мелкой моторики рук;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способность и принимать, и внедрять новое на практике.</w:t>
            </w:r>
          </w:p>
          <w:p w:rsidR="00845834" w:rsidRPr="00BA1B98" w:rsidRDefault="006B397F" w:rsidP="00004172">
            <w:pPr>
              <w:ind w:firstLine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  <w:r w:rsidR="00845834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 выпускник должен обладать следующими личностными качествами: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внимательность;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терпеливость;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настойчивость;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целеустремленность;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склонность к работе с техническими устройствами;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уверенность;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ответственность;</w:t>
            </w:r>
          </w:p>
          <w:p w:rsidR="00845834" w:rsidRPr="00BA1B98" w:rsidRDefault="006B397F" w:rsidP="006B39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аккуратность.</w:t>
            </w:r>
          </w:p>
        </w:tc>
      </w:tr>
      <w:tr w:rsidR="00845834" w:rsidRPr="00486971" w:rsidTr="009151A7">
        <w:tc>
          <w:tcPr>
            <w:tcW w:w="3686" w:type="dxa"/>
          </w:tcPr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Качества, препятствующие эффективности профессиональной деятельности</w:t>
            </w:r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5" w:type="dxa"/>
          </w:tcPr>
          <w:p w:rsidR="004D52AB" w:rsidRDefault="004D52AB" w:rsidP="00004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отрицательным качествам, препятствующим эффективно заниматься данной профессией относятся такие черты, как:</w:t>
            </w:r>
          </w:p>
          <w:p w:rsidR="00845834" w:rsidRPr="00BA1B98" w:rsidRDefault="004D52AB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5834"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="00845834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неспособность анализировать,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факты, делать умозаключения;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нерешительность,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физической и психической выносливости;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безнравственность;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неорганизованность;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раздражительность,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импульсивность;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недисциплинированность;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быстрая утомляемость;</w:t>
            </w:r>
          </w:p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 развития или отсутствие организаторских и коммуникативных способностей;</w:t>
            </w:r>
          </w:p>
          <w:p w:rsidR="00845834" w:rsidRPr="00BA1B98" w:rsidRDefault="00845834" w:rsidP="0041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="0041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неуравновешенность.</w:t>
            </w:r>
          </w:p>
        </w:tc>
      </w:tr>
      <w:tr w:rsidR="00845834" w:rsidRPr="00486971" w:rsidTr="009151A7">
        <w:tc>
          <w:tcPr>
            <w:tcW w:w="3686" w:type="dxa"/>
          </w:tcPr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Представители данной профессии могут осуществлять свою трудовую деятельность в помещениях и на открытом воздухе. Работа может происходить либо с использованием персонального компьютера, либо с применением специализированных инструментов и оборудования. В рамках данной деятельности могут периодически случаться командировки, разъезды или деловые встречи с заказчиками.</w:t>
            </w:r>
          </w:p>
        </w:tc>
      </w:tr>
      <w:tr w:rsidR="00845834" w:rsidRPr="00486971" w:rsidTr="009151A7">
        <w:tc>
          <w:tcPr>
            <w:tcW w:w="3686" w:type="dxa"/>
          </w:tcPr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профессии на современном рынке труда</w:t>
            </w:r>
          </w:p>
        </w:tc>
        <w:tc>
          <w:tcPr>
            <w:tcW w:w="6515" w:type="dxa"/>
          </w:tcPr>
          <w:p w:rsidR="00845834" w:rsidRPr="00BA1B98" w:rsidRDefault="00845834" w:rsidP="00004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относится</w:t>
            </w:r>
            <w:r w:rsidR="001E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странам, обеспеченным собственными энергоресурсами, поэтому потребность в энергетиках на рынке труда увеличивается с каждым годом. Несмотря на то, что крупные предприятия отдают предпочтение более опытным и квалифицированным специалистам, даже выпускники ВУЗов смогут без особых проблем найти работу по профессии. Устроившись на должность младшего 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специалиста, целеустремленные сотрудники со временем достигают больших высот.</w:t>
            </w:r>
          </w:p>
          <w:p w:rsidR="00845834" w:rsidRPr="00BA1B98" w:rsidRDefault="00845834" w:rsidP="00004172">
            <w:pPr>
              <w:tabs>
                <w:tab w:val="left" w:pos="11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достижения полностью окружают нашу жизнь, а с</w:t>
            </w:r>
            <w:r w:rsidR="003E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</w:t>
            </w:r>
            <w:r w:rsidR="0035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электросетей только расширяет</w:t>
            </w:r>
            <w:r w:rsidR="003E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BA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поэтому энергетики будут востребованы всегда.</w:t>
            </w:r>
          </w:p>
        </w:tc>
      </w:tr>
      <w:tr w:rsidR="00845834" w:rsidRPr="00486971" w:rsidTr="009151A7">
        <w:tc>
          <w:tcPr>
            <w:tcW w:w="3686" w:type="dxa"/>
          </w:tcPr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Выпускники бакалавры имеют возможность продолжить обучение в магистратуре</w:t>
            </w:r>
          </w:p>
        </w:tc>
        <w:tc>
          <w:tcPr>
            <w:tcW w:w="6515" w:type="dxa"/>
          </w:tcPr>
          <w:p w:rsidR="00845834" w:rsidRDefault="00845834" w:rsidP="00004172">
            <w:pPr>
              <w:pStyle w:val="Default"/>
            </w:pPr>
            <w:r>
              <w:t>Московский энергетический институт:</w:t>
            </w:r>
          </w:p>
          <w:p w:rsidR="00845834" w:rsidRDefault="004A5918" w:rsidP="00004172">
            <w:pPr>
              <w:pStyle w:val="Default"/>
            </w:pPr>
            <w:hyperlink r:id="rId5" w:history="1">
              <w:r w:rsidR="00845834" w:rsidRPr="009344B2">
                <w:rPr>
                  <w:rStyle w:val="a4"/>
                </w:rPr>
                <w:t>https://mpei.ru/Education/educationalprograms/Lists/OPOPlistmag/DispForm.aspx?ID=58</w:t>
              </w:r>
            </w:hyperlink>
          </w:p>
          <w:p w:rsidR="00845834" w:rsidRDefault="00845834" w:rsidP="00004172">
            <w:pPr>
              <w:pStyle w:val="Default"/>
            </w:pPr>
            <w:r>
              <w:t xml:space="preserve">НИТУ </w:t>
            </w:r>
            <w:proofErr w:type="spellStart"/>
            <w:r>
              <w:t>МИСиС</w:t>
            </w:r>
            <w:proofErr w:type="spellEnd"/>
            <w:r>
              <w:t>:</w:t>
            </w:r>
          </w:p>
          <w:p w:rsidR="00845834" w:rsidRDefault="004A5918" w:rsidP="00004172">
            <w:pPr>
              <w:pStyle w:val="Default"/>
            </w:pPr>
            <w:hyperlink r:id="rId6" w:history="1">
              <w:r w:rsidR="00845834" w:rsidRPr="009344B2">
                <w:rPr>
                  <w:rStyle w:val="a4"/>
                </w:rPr>
                <w:t>https://misis.ru/applicants/admission/magistracy/faculties/electromag/</w:t>
              </w:r>
            </w:hyperlink>
          </w:p>
          <w:p w:rsidR="00845834" w:rsidRDefault="00845834" w:rsidP="00004172">
            <w:pPr>
              <w:pStyle w:val="Default"/>
            </w:pPr>
            <w:r>
              <w:t>ДВФУ:</w:t>
            </w:r>
          </w:p>
          <w:p w:rsidR="00845834" w:rsidRDefault="004A5918" w:rsidP="00004172">
            <w:pPr>
              <w:pStyle w:val="Default"/>
            </w:pPr>
            <w:hyperlink r:id="rId7" w:history="1">
              <w:r w:rsidR="00845834" w:rsidRPr="009344B2">
                <w:rPr>
                  <w:rStyle w:val="a4"/>
                </w:rPr>
                <w:t>https://www.dvfu.ru/schools/engineering/structure/departments/department_of_electric_power_engineering_/</w:t>
              </w:r>
            </w:hyperlink>
          </w:p>
          <w:p w:rsidR="00845834" w:rsidRDefault="00845834" w:rsidP="00004172">
            <w:pPr>
              <w:pStyle w:val="Default"/>
            </w:pPr>
            <w:r>
              <w:t>СВФУ (аспирантура):</w:t>
            </w:r>
          </w:p>
          <w:p w:rsidR="00845834" w:rsidRDefault="004A5918" w:rsidP="00004172">
            <w:pPr>
              <w:pStyle w:val="Default"/>
            </w:pPr>
            <w:hyperlink r:id="rId8" w:history="1">
              <w:r w:rsidR="00845834" w:rsidRPr="009344B2">
                <w:rPr>
                  <w:rStyle w:val="a4"/>
                </w:rPr>
                <w:t>https://www.s-vfu.ru/universitet/rukovodstvo-i-struktura/instituty/fti/ke/</w:t>
              </w:r>
            </w:hyperlink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1A1A" w:rsidRDefault="00661A1A"/>
    <w:sectPr w:rsidR="0066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6D0D"/>
    <w:multiLevelType w:val="multilevel"/>
    <w:tmpl w:val="983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34"/>
    <w:rsid w:val="0001092B"/>
    <w:rsid w:val="001E36E9"/>
    <w:rsid w:val="00233AED"/>
    <w:rsid w:val="002A739E"/>
    <w:rsid w:val="00353B2A"/>
    <w:rsid w:val="003E1375"/>
    <w:rsid w:val="00411DFB"/>
    <w:rsid w:val="004A5918"/>
    <w:rsid w:val="004B4E37"/>
    <w:rsid w:val="004D52AB"/>
    <w:rsid w:val="0062293E"/>
    <w:rsid w:val="00661A1A"/>
    <w:rsid w:val="006B397F"/>
    <w:rsid w:val="00845834"/>
    <w:rsid w:val="009151A7"/>
    <w:rsid w:val="00CC1E8B"/>
    <w:rsid w:val="00C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28BB-067F-4F45-93AA-09F8014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845834"/>
  </w:style>
  <w:style w:type="paragraph" w:customStyle="1" w:styleId="Default">
    <w:name w:val="Default"/>
    <w:rsid w:val="0084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45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instituty/fti/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vfu.ru/schools/engineering/structure/departments/department_of_electric_power_engineerin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is.ru/applicants/admission/magistracy/faculties/electromag/" TargetMode="External"/><Relationship Id="rId5" Type="http://schemas.openxmlformats.org/officeDocument/2006/relationships/hyperlink" Target="https://mpei.ru/Education/educationalprograms/Lists/OPOPlistmag/DispForm.aspx?ID=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Пашквер</dc:creator>
  <cp:keywords/>
  <dc:description/>
  <cp:lastModifiedBy>Бурянина Надежда Сергеевна</cp:lastModifiedBy>
  <cp:revision>3</cp:revision>
  <dcterms:created xsi:type="dcterms:W3CDTF">2023-04-12T04:39:00Z</dcterms:created>
  <dcterms:modified xsi:type="dcterms:W3CDTF">2023-04-12T06:12:00Z</dcterms:modified>
</cp:coreProperties>
</file>